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方正小标宋_GBK" w:eastAsia="方正小标宋_GBK"/>
          <w:sz w:val="44"/>
          <w:szCs w:val="44"/>
          <w:lang w:eastAsia="zh-CN"/>
        </w:rPr>
      </w:pPr>
      <w:r>
        <w:rPr>
          <w:rFonts w:hint="eastAsia" w:ascii="方正小标宋_GBK" w:eastAsia="方正小标宋_GBK"/>
          <w:sz w:val="44"/>
          <w:szCs w:val="44"/>
        </w:rPr>
        <w:drawing>
          <wp:inline distT="0" distB="0" distL="114300" distR="114300">
            <wp:extent cx="6548120" cy="9206230"/>
            <wp:effectExtent l="0" t="0" r="0" b="139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rcRect l="3507" t="-110" r="-3507" b="110"/>
                    <a:stretch>
                      <a:fillRect/>
                    </a:stretch>
                  </pic:blipFill>
                  <pic:spPr>
                    <a:xfrm>
                      <a:off x="0" y="0"/>
                      <a:ext cx="6548120" cy="9206230"/>
                    </a:xfrm>
                    <a:prstGeom prst="rect">
                      <a:avLst/>
                    </a:prstGeom>
                  </pic:spPr>
                </pic:pic>
              </a:graphicData>
            </a:graphic>
          </wp:inline>
        </w:drawing>
      </w:r>
    </w:p>
    <w:p>
      <w:pPr>
        <w:snapToGrid w:val="0"/>
        <w:jc w:val="both"/>
        <w:rPr>
          <w:rFonts w:hint="eastAsia" w:ascii="方正小标宋_GBK" w:eastAsia="方正小标宋_GBK"/>
          <w:sz w:val="44"/>
          <w:szCs w:val="44"/>
        </w:rPr>
      </w:pPr>
      <w:r>
        <w:rPr>
          <w:rFonts w:hint="eastAsia" w:ascii="方正小标宋_GBK" w:eastAsia="方正小标宋_GBK"/>
          <w:sz w:val="44"/>
          <w:szCs w:val="44"/>
          <w:lang w:eastAsia="zh-CN"/>
        </w:rPr>
        <w:drawing>
          <wp:inline distT="0" distB="0" distL="114300" distR="114300">
            <wp:extent cx="6429375" cy="9232900"/>
            <wp:effectExtent l="0" t="0" r="0" b="635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rcRect l="3783" t="509" r="-3783" b="-509"/>
                    <a:stretch>
                      <a:fillRect/>
                    </a:stretch>
                  </pic:blipFill>
                  <pic:spPr>
                    <a:xfrm>
                      <a:off x="0" y="0"/>
                      <a:ext cx="6429375" cy="9232900"/>
                    </a:xfrm>
                    <a:prstGeom prst="rect">
                      <a:avLst/>
                    </a:prstGeom>
                  </pic:spPr>
                </pic:pic>
              </a:graphicData>
            </a:graphic>
          </wp:inline>
        </w:drawing>
      </w:r>
    </w:p>
    <w:p>
      <w:pPr>
        <w:snapToGrid w:val="0"/>
        <w:ind w:firstLine="440" w:firstLineChars="100"/>
        <w:jc w:val="both"/>
        <w:rPr>
          <w:rFonts w:ascii="方正小标宋_GBK" w:eastAsia="方正小标宋_GBK"/>
          <w:sz w:val="44"/>
          <w:szCs w:val="44"/>
        </w:rPr>
      </w:pPr>
      <w:r>
        <w:rPr>
          <w:rFonts w:hint="eastAsia" w:ascii="方正小标宋_GBK" w:eastAsia="方正小标宋_GBK"/>
          <w:sz w:val="44"/>
          <w:szCs w:val="44"/>
        </w:rPr>
        <w:t>拉萨高新区（柳梧新区）科技企业创</w:t>
      </w:r>
      <w:bookmarkStart w:id="0" w:name="_GoBack"/>
      <w:bookmarkEnd w:id="0"/>
      <w:r>
        <w:rPr>
          <w:rFonts w:hint="eastAsia" w:ascii="方正小标宋_GBK" w:eastAsia="方正小标宋_GBK"/>
          <w:sz w:val="44"/>
          <w:szCs w:val="44"/>
        </w:rPr>
        <w:t>新券</w:t>
      </w:r>
    </w:p>
    <w:p>
      <w:pPr>
        <w:snapToGrid w:val="0"/>
        <w:jc w:val="center"/>
        <w:rPr>
          <w:rFonts w:ascii="方正小标宋_GBK" w:eastAsia="方正小标宋_GBK"/>
          <w:sz w:val="44"/>
          <w:szCs w:val="44"/>
        </w:rPr>
      </w:pPr>
      <w:r>
        <w:rPr>
          <w:rFonts w:hint="eastAsia" w:ascii="方正小标宋_GBK" w:eastAsia="方正小标宋_GBK"/>
          <w:sz w:val="44"/>
          <w:szCs w:val="44"/>
        </w:rPr>
        <w:t>实施管理暂行办法</w:t>
      </w:r>
    </w:p>
    <w:p>
      <w:pPr>
        <w:jc w:val="center"/>
        <w:rPr>
          <w:rFonts w:ascii="方正仿宋_GBK" w:hAnsi="黑体" w:eastAsia="方正仿宋_GBK"/>
          <w:sz w:val="32"/>
          <w:szCs w:val="32"/>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第一条</w:t>
      </w:r>
      <w:r>
        <w:rPr>
          <w:rFonts w:hint="eastAsia" w:ascii="方正仿宋_GBK" w:hAnsi="方正仿宋_GBK" w:eastAsia="方正仿宋_GBK" w:cs="方正仿宋_GBK"/>
          <w:sz w:val="32"/>
          <w:szCs w:val="32"/>
        </w:rPr>
        <w:t xml:space="preserve">  为创新财政投入方式，提高财政资金使用效率，推动创新服务需求方和供给方有效对接，为驻区科技创新型企业提供更多创新服务，进一步完善区域创新服务体系，根据《国务院关于</w:t>
      </w:r>
      <w:r>
        <w:rPr>
          <w:rFonts w:hint="eastAsia" w:ascii="方正仿宋_GBK" w:hAnsi="方正仿宋_GBK" w:eastAsia="方正仿宋_GBK" w:cs="方正仿宋_GBK"/>
          <w:sz w:val="32"/>
          <w:szCs w:val="32"/>
          <w:lang w:eastAsia="zh-CN"/>
        </w:rPr>
        <w:t>推动创新创业高质量发展打造“双创”升级版的</w:t>
      </w:r>
      <w:r>
        <w:rPr>
          <w:rFonts w:hint="eastAsia" w:ascii="方正仿宋_GBK" w:hAnsi="方正仿宋_GBK" w:eastAsia="方正仿宋_GBK" w:cs="方正仿宋_GBK"/>
          <w:sz w:val="32"/>
          <w:szCs w:val="32"/>
        </w:rPr>
        <w:t>意见》（国发〔201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号）、</w:t>
      </w:r>
      <w:r>
        <w:rPr>
          <w:rFonts w:hint="eastAsia" w:ascii="Times New Roman" w:hAnsi="Times New Roman" w:eastAsia="方正仿宋_GBK" w:cs="方正仿宋_GBK"/>
          <w:sz w:val="32"/>
          <w:szCs w:val="32"/>
          <w:lang w:val="en-US" w:eastAsia="zh-CN"/>
        </w:rPr>
        <w:t>《西藏自治区人民政府关于推进大众创业万众创新高质量发展的实施意见》（藏政发</w:t>
      </w:r>
      <w:r>
        <w:rPr>
          <w:rFonts w:hint="eastAsia" w:ascii="方正仿宋_GBK" w:hAnsi="方正仿宋_GBK" w:eastAsia="方正仿宋_GBK" w:cs="方正仿宋_GBK"/>
          <w:sz w:val="32"/>
          <w:szCs w:val="32"/>
          <w:lang w:val="en-US" w:eastAsia="zh-CN"/>
        </w:rPr>
        <w:t>〔2021〕5号）</w:t>
      </w:r>
      <w:r>
        <w:rPr>
          <w:rFonts w:hint="eastAsia" w:ascii="方正仿宋_GBK" w:hAnsi="方正仿宋_GBK" w:eastAsia="方正仿宋_GBK" w:cs="方正仿宋_GBK"/>
          <w:sz w:val="32"/>
          <w:szCs w:val="32"/>
        </w:rPr>
        <w:t>及《拉萨市柳梧新区国家双创示范基地建设工作方案》，特制定本办法。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第二条</w:t>
      </w:r>
      <w:r>
        <w:rPr>
          <w:rFonts w:hint="eastAsia" w:ascii="方正仿宋_GBK" w:hAnsi="方正仿宋_GBK" w:eastAsia="方正仿宋_GBK" w:cs="方正仿宋_GBK"/>
          <w:sz w:val="32"/>
          <w:szCs w:val="32"/>
        </w:rPr>
        <w:t xml:space="preserve">  科技企业创新券是以政府购买服务的方式支持科技企业创新的一种手段，是推动创新服务需求方和供给方有效对接的一种途径。拉萨高新区双创办（以下简称“双创办”）向企业发放创新券，企业向中介服务机构购买创新服务时，用创新券抵扣一定比例的服务费用，中介服务机构持收到的创新券向双创办兑现并获得一定的服务补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第三条</w:t>
      </w:r>
      <w:r>
        <w:rPr>
          <w:rFonts w:hint="eastAsia" w:ascii="方正仿宋_GBK" w:hAnsi="方正仿宋_GBK" w:eastAsia="方正仿宋_GBK" w:cs="方正仿宋_GBK"/>
          <w:sz w:val="32"/>
          <w:szCs w:val="32"/>
        </w:rPr>
        <w:t xml:space="preserve">  科技企业创新券资金来源由拉萨市“两创”切块资金和本级财政资金解决。</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管理机构及职责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第四条</w:t>
      </w:r>
      <w:r>
        <w:rPr>
          <w:rFonts w:hint="eastAsia" w:ascii="方正仿宋_GBK" w:hAnsi="方正仿宋_GBK" w:eastAsia="方正仿宋_GBK" w:cs="方正仿宋_GBK"/>
          <w:sz w:val="32"/>
          <w:szCs w:val="32"/>
        </w:rPr>
        <w:t xml:space="preserve">  设立拉萨高新区科技企业创新券领导小组，成员由委领导和相关部门负责人组成，负责企业创新券的政策研究、研究确定企业创新券实施过程中的有关重大事项，领导小组下设办公室，办公室设在双创办。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第五条</w:t>
      </w:r>
      <w:r>
        <w:rPr>
          <w:rFonts w:hint="eastAsia" w:ascii="方正仿宋_GBK" w:hAnsi="方正仿宋_GBK" w:eastAsia="方正仿宋_GBK" w:cs="方正仿宋_GBK"/>
          <w:sz w:val="32"/>
          <w:szCs w:val="32"/>
        </w:rPr>
        <w:t>双创办具体负责企业创新券的日常运行和管理，以及企业创新券的申请受理、资格审查、发放等具体工作。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财政局具体负责创新券资金的拨付及项目绩效考核。</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支持对象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第六条</w:t>
      </w:r>
      <w:r>
        <w:rPr>
          <w:rFonts w:hint="eastAsia" w:ascii="方正仿宋_GBK" w:hAnsi="方正仿宋_GBK" w:eastAsia="方正仿宋_GBK" w:cs="方正仿宋_GBK"/>
          <w:sz w:val="32"/>
          <w:szCs w:val="32"/>
        </w:rPr>
        <w:t xml:space="preserve">  企业创新券的支持对象包括：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（一）在新区工商行政管理部门注册登记、具有独立法人资格的科技型中小微企业。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（二）为新区科技型中小微企业提供创新服务的中介服务机构，中介服务机构需达到以下标准：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1.注册满两年以上，注册在拉萨高新区（柳梧新区）的企业优先；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2.必须具有为企业提供对应服务的专业能力与相关资质，并具有从事该类服务两年以上的业务经验；</w:t>
      </w:r>
    </w:p>
    <w:p>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u w:val="none"/>
        </w:rPr>
        <w:t>.要求全职员工</w:t>
      </w:r>
      <w:r>
        <w:rPr>
          <w:rFonts w:hint="eastAsia" w:ascii="方正仿宋_GBK" w:hAnsi="方正仿宋_GBK" w:eastAsia="方正仿宋_GBK" w:cs="方正仿宋_GBK"/>
          <w:sz w:val="32"/>
          <w:szCs w:val="32"/>
          <w:u w:val="none"/>
          <w:lang w:val="en-US" w:eastAsia="zh-CN"/>
        </w:rPr>
        <w:t>6</w:t>
      </w:r>
      <w:r>
        <w:rPr>
          <w:rFonts w:hint="eastAsia" w:ascii="方正仿宋_GBK" w:hAnsi="方正仿宋_GBK" w:eastAsia="方正仿宋_GBK" w:cs="方正仿宋_GBK"/>
          <w:sz w:val="32"/>
          <w:szCs w:val="32"/>
          <w:u w:val="none"/>
        </w:rPr>
        <w:t>人以上，相关经验的专业人员</w:t>
      </w:r>
      <w:r>
        <w:rPr>
          <w:rFonts w:hint="eastAsia" w:ascii="方正仿宋_GBK" w:hAnsi="方正仿宋_GBK" w:eastAsia="方正仿宋_GBK" w:cs="方正仿宋_GBK"/>
          <w:sz w:val="32"/>
          <w:szCs w:val="32"/>
          <w:u w:val="none"/>
          <w:lang w:val="en-US" w:eastAsia="zh-CN"/>
        </w:rPr>
        <w:t>4</w:t>
      </w:r>
      <w:r>
        <w:rPr>
          <w:rFonts w:hint="eastAsia" w:ascii="方正仿宋_GBK" w:hAnsi="方正仿宋_GBK" w:eastAsia="方正仿宋_GBK" w:cs="方正仿宋_GBK"/>
          <w:sz w:val="32"/>
          <w:szCs w:val="32"/>
          <w:u w:val="none"/>
        </w:rPr>
        <w:t>人以上；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4.遵纪守法开展生产经营等活动，近两年未受到各级行政部门的行政处罚。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（三）以上所说中小微企业参照《工业和信息化部 国家统计局国家发展和改革委员会 财政部关于印发中小企业划型标准规定的通知》（工信部联企业〔2011〕300号）文件执行。</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使用范围及形式</w:t>
      </w:r>
    </w:p>
    <w:p>
      <w:pPr>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bCs/>
          <w:sz w:val="32"/>
          <w:szCs w:val="32"/>
        </w:rPr>
        <w:t>第七条</w:t>
      </w:r>
      <w:r>
        <w:rPr>
          <w:rFonts w:hint="eastAsia" w:ascii="方正仿宋_GBK" w:hAnsi="方正仿宋_GBK" w:eastAsia="方正仿宋_GBK" w:cs="方正仿宋_GBK"/>
          <w:sz w:val="32"/>
          <w:szCs w:val="32"/>
        </w:rPr>
        <w:t xml:space="preserve">  科技企业创新券限用于高新区企业向中介服务机构购买科技创新服务，包括研发、试验测试、科技金融等费用（详情见附件）。</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Cs/>
          <w:color w:val="auto"/>
          <w:sz w:val="32"/>
          <w:szCs w:val="32"/>
        </w:rPr>
        <w:t>第八条</w:t>
      </w:r>
      <w:r>
        <w:rPr>
          <w:rFonts w:hint="eastAsia" w:ascii="方正仿宋_GBK" w:hAnsi="方正仿宋_GBK" w:eastAsia="方正仿宋_GBK" w:cs="方正仿宋_GBK"/>
          <w:color w:val="auto"/>
          <w:sz w:val="32"/>
          <w:szCs w:val="32"/>
        </w:rPr>
        <w:t xml:space="preserve">  科技企业创新券采取电子券形式，有效期为1年，当年可申请的创新券最高限额不超过50万元</w:t>
      </w:r>
      <w:r>
        <w:rPr>
          <w:rFonts w:hint="eastAsia" w:ascii="方正仿宋_GBK" w:hAnsi="方正仿宋_GBK" w:eastAsia="方正仿宋_GBK" w:cs="方正仿宋_GBK"/>
          <w:color w:val="auto"/>
          <w:sz w:val="32"/>
          <w:szCs w:val="32"/>
          <w:lang w:eastAsia="zh-CN"/>
        </w:rPr>
        <w:t>。</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第九条</w:t>
      </w:r>
      <w:r>
        <w:rPr>
          <w:rFonts w:hint="eastAsia" w:ascii="方正仿宋_GBK" w:hAnsi="方正仿宋_GBK" w:eastAsia="方正仿宋_GBK" w:cs="方正仿宋_GBK"/>
          <w:sz w:val="32"/>
          <w:szCs w:val="32"/>
        </w:rPr>
        <w:t xml:space="preserve">  科技企业创新券限于申领企业自己使用，不得转让、买卖。</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申领与使用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第十条</w:t>
      </w:r>
      <w:r>
        <w:rPr>
          <w:rFonts w:hint="eastAsia" w:ascii="方正仿宋_GBK" w:hAnsi="方正仿宋_GBK" w:eastAsia="方正仿宋_GBK" w:cs="方正仿宋_GBK"/>
          <w:sz w:val="32"/>
          <w:szCs w:val="32"/>
        </w:rPr>
        <w:t xml:space="preserve">  科技企业创新券的申领程序：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（一）双创办发布科技企业创新券资助通知，明确企业创新券的发放、使用范围和使用比例等有关要求；</w:t>
      </w:r>
    </w:p>
    <w:p>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rPr>
        <w:t>（二）企业通过“拉萨高新区双创服务平台”（mcliuwu.com）提出创新券申请，由双创办进行线上审核，同时企业将纸质版申请资料提交双创办备案。</w:t>
      </w:r>
      <w:r>
        <w:rPr>
          <w:rFonts w:hint="eastAsia" w:ascii="方正仿宋_GBK" w:hAnsi="方正仿宋_GBK" w:eastAsia="方正仿宋_GBK" w:cs="方正仿宋_GBK"/>
          <w:sz w:val="32"/>
          <w:szCs w:val="32"/>
          <w:u w:val="none"/>
        </w:rPr>
        <w:t>线上审核通过后</w:t>
      </w:r>
      <w:r>
        <w:rPr>
          <w:rFonts w:hint="eastAsia" w:ascii="方正仿宋_GBK" w:hAnsi="方正仿宋_GBK" w:eastAsia="方正仿宋_GBK" w:cs="方正仿宋_GBK"/>
          <w:sz w:val="32"/>
          <w:szCs w:val="32"/>
          <w:u w:val="none"/>
          <w:lang w:eastAsia="zh-CN"/>
        </w:rPr>
        <w:t>双创办组织专家进行项目立项评审（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专家评审费用从科创券专项资金中支出），</w:t>
      </w:r>
      <w:r>
        <w:rPr>
          <w:rFonts w:hint="eastAsia" w:ascii="方正仿宋_GBK" w:hAnsi="方正仿宋_GBK" w:eastAsia="方正仿宋_GBK" w:cs="方正仿宋_GBK"/>
          <w:sz w:val="32"/>
          <w:szCs w:val="32"/>
          <w:u w:val="none"/>
          <w:lang w:eastAsia="zh-CN"/>
        </w:rPr>
        <w:t>评审通过后的</w:t>
      </w:r>
      <w:r>
        <w:rPr>
          <w:rFonts w:hint="eastAsia" w:ascii="方正仿宋_GBK" w:hAnsi="方正仿宋_GBK" w:eastAsia="方正仿宋_GBK" w:cs="方正仿宋_GBK"/>
          <w:sz w:val="32"/>
          <w:szCs w:val="32"/>
          <w:u w:val="none"/>
        </w:rPr>
        <w:t>3个工作日内将科技企业创新券（电子券）发放至企业在“高新区双创服务平台”上的账户。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第十一条</w:t>
      </w:r>
      <w:r>
        <w:rPr>
          <w:rFonts w:hint="eastAsia" w:ascii="方正仿宋_GBK" w:hAnsi="方正仿宋_GBK" w:eastAsia="方正仿宋_GBK" w:cs="方正仿宋_GBK"/>
          <w:sz w:val="32"/>
          <w:szCs w:val="32"/>
        </w:rPr>
        <w:t xml:space="preserve">  企业创新券的使用程序：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（一）企业在“高新区双创服务平台”上选择需要购买的创新服务产品并提出购买申请。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（二）中介服务机构与申请企业在线下商定服务内容、服务时间、服务费用等相关事宜后签订服务合同书，并将服务合同书上传至“高新区双创服务平台”。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（三）双创办对服务合同书进行审查，审查通过后，中介服务机构按照服务合同书约定为企业提供相应创新服务。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（四）服务完成后，企业在“高新区双创服务平台”上使用创新券向中介服务机构支付一定比例的服务费用。</w:t>
      </w:r>
    </w:p>
    <w:p>
      <w:pPr>
        <w:ind w:firstLine="640" w:firstLineChars="200"/>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rPr>
        <w:t>（五）所有使用创新券的服务项目完成后进行绩效考核，</w:t>
      </w:r>
      <w:r>
        <w:rPr>
          <w:rFonts w:hint="eastAsia" w:ascii="方正仿宋_GBK" w:hAnsi="方正仿宋_GBK" w:eastAsia="方正仿宋_GBK" w:cs="方正仿宋_GBK"/>
          <w:sz w:val="32"/>
          <w:szCs w:val="32"/>
          <w:u w:val="none"/>
        </w:rPr>
        <w:t>如绩效考核不达标，</w:t>
      </w:r>
      <w:r>
        <w:rPr>
          <w:rFonts w:hint="eastAsia" w:ascii="方正仿宋_GBK" w:hAnsi="方正仿宋_GBK" w:eastAsia="方正仿宋_GBK" w:cs="方正仿宋_GBK"/>
          <w:sz w:val="32"/>
          <w:szCs w:val="32"/>
          <w:u w:val="none"/>
          <w:lang w:eastAsia="zh-CN"/>
        </w:rPr>
        <w:t>则不予科技创新券的资金支持。</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兑现与要求</w:t>
      </w:r>
    </w:p>
    <w:p>
      <w:pPr>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bCs/>
          <w:sz w:val="32"/>
          <w:szCs w:val="32"/>
        </w:rPr>
        <w:t>第十二条</w:t>
      </w:r>
      <w:r>
        <w:rPr>
          <w:rFonts w:hint="eastAsia" w:ascii="方正仿宋_GBK" w:hAnsi="方正仿宋_GBK" w:eastAsia="方正仿宋_GBK" w:cs="方正仿宋_GBK"/>
          <w:sz w:val="32"/>
          <w:szCs w:val="32"/>
        </w:rPr>
        <w:t xml:space="preserve">  为鼓励中介服务机构为企业提供更多更好的创新服务，双创办对中介服务机构提供的服务给予服务费用一定比例的补贴，补贴经费主要用于对提供服务的团队进行奖励。补贴比例为每笔创新券合同总金额的10%，每年每家机构获得的补贴不超过100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第十三条</w:t>
      </w:r>
      <w:r>
        <w:rPr>
          <w:rFonts w:hint="eastAsia" w:ascii="方正仿宋_GBK" w:hAnsi="方正仿宋_GBK" w:eastAsia="方正仿宋_GBK" w:cs="方正仿宋_GBK"/>
          <w:sz w:val="32"/>
          <w:szCs w:val="32"/>
        </w:rPr>
        <w:t xml:space="preserve">  企业创新券的兑现程序：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（一）中介服务机构按照服务合同书要求完成相关服务后，将相关服务的证明材料上传到“高新区双创服务平台”，双创办在3个工作日内完成服务证明材料的审核，并给出审核意见。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（二）中介服务机构根据审核意见，在规定期限内将企业创新券兑现额度和申请服务补贴的纸质证明材料提交双创办。</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（三）双创办负责对中介服务机构提交的纸质证明材料进行审核后报财政局，由财政局</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拨付科技企业创新券兑现额度及服务补贴。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w:t>
      </w:r>
      <w:r>
        <w:rPr>
          <w:rFonts w:hint="eastAsia" w:ascii="方正仿宋_GBK" w:hAnsi="方正仿宋_GBK" w:eastAsia="方正仿宋_GBK" w:cs="方正仿宋_GBK"/>
          <w:bCs/>
          <w:sz w:val="32"/>
          <w:szCs w:val="32"/>
          <w:lang w:eastAsia="zh-CN"/>
        </w:rPr>
        <w:t>四</w:t>
      </w:r>
      <w:r>
        <w:rPr>
          <w:rFonts w:hint="eastAsia" w:ascii="方正仿宋_GBK" w:hAnsi="方正仿宋_GBK" w:eastAsia="方正仿宋_GBK" w:cs="方正仿宋_GBK"/>
          <w:bCs/>
          <w:sz w:val="32"/>
          <w:szCs w:val="32"/>
        </w:rPr>
        <w:t>条</w:t>
      </w:r>
      <w:r>
        <w:rPr>
          <w:rFonts w:hint="eastAsia" w:ascii="方正仿宋_GBK" w:hAnsi="方正仿宋_GBK" w:eastAsia="方正仿宋_GBK" w:cs="方正仿宋_GBK"/>
          <w:sz w:val="32"/>
          <w:szCs w:val="32"/>
        </w:rPr>
        <w:t xml:space="preserve">  中介服务机构提交的企业创新券兑现和服务补贴资助证明材料包括：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（一）科技企业创新券服务项目兑现汇总表，包括服务企业名称、服务项目名称、服务内容和服务时间等。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（二）中介服务机构与企业签订的服务合同书复印件，提交时要审查服务合同书原件。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（三）服务产品收费情况的有效证明材料（包括中介服务机构向企业开具的购买服务的发票等）。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w:t>
      </w:r>
      <w:r>
        <w:rPr>
          <w:rFonts w:hint="eastAsia" w:ascii="方正仿宋_GBK" w:hAnsi="方正仿宋_GBK" w:eastAsia="方正仿宋_GBK" w:cs="方正仿宋_GBK"/>
          <w:bCs/>
          <w:sz w:val="32"/>
          <w:szCs w:val="32"/>
          <w:lang w:eastAsia="zh-CN"/>
        </w:rPr>
        <w:t>五</w:t>
      </w:r>
      <w:r>
        <w:rPr>
          <w:rFonts w:hint="eastAsia" w:ascii="方正仿宋_GBK" w:hAnsi="方正仿宋_GBK" w:eastAsia="方正仿宋_GBK" w:cs="方正仿宋_GBK"/>
          <w:bCs/>
          <w:sz w:val="32"/>
          <w:szCs w:val="32"/>
        </w:rPr>
        <w:t>条</w:t>
      </w:r>
      <w:r>
        <w:rPr>
          <w:rFonts w:hint="eastAsia" w:ascii="方正仿宋_GBK" w:hAnsi="方正仿宋_GBK" w:eastAsia="方正仿宋_GBK" w:cs="方正仿宋_GBK"/>
          <w:sz w:val="32"/>
          <w:szCs w:val="32"/>
        </w:rPr>
        <w:t xml:space="preserve">  对通过科技企业创新券骗取财政资金的企业和中介服务机构，注销其持有的企业创新券，追回骗取的资金，3年内不给予财政补贴项目和财政资金支持，并追究其相关法律责任。</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章  附  则</w:t>
      </w:r>
    </w:p>
    <w:p>
      <w:pPr>
        <w:ind w:firstLine="640" w:firstLineChars="200"/>
        <w:rPr>
          <w:rFonts w:hint="eastAsia" w:ascii="方正仿宋_GBK" w:hAnsi="方正仿宋_GBK" w:eastAsia="方正仿宋_GBK" w:cs="方正仿宋_GBK"/>
          <w:bCs/>
          <w:sz w:val="32"/>
          <w:szCs w:val="32"/>
          <w:u w:val="none"/>
        </w:rPr>
      </w:pPr>
      <w:r>
        <w:rPr>
          <w:rFonts w:hint="eastAsia" w:ascii="方正仿宋_GBK" w:hAnsi="方正仿宋_GBK" w:eastAsia="方正仿宋_GBK" w:cs="方正仿宋_GBK"/>
          <w:bCs/>
          <w:sz w:val="32"/>
          <w:szCs w:val="32"/>
          <w:u w:val="none"/>
        </w:rPr>
        <w:t>第十</w:t>
      </w:r>
      <w:r>
        <w:rPr>
          <w:rFonts w:hint="eastAsia" w:ascii="方正仿宋_GBK" w:hAnsi="方正仿宋_GBK" w:eastAsia="方正仿宋_GBK" w:cs="方正仿宋_GBK"/>
          <w:bCs/>
          <w:sz w:val="32"/>
          <w:szCs w:val="32"/>
          <w:u w:val="none"/>
          <w:lang w:eastAsia="zh-CN"/>
        </w:rPr>
        <w:t>六</w:t>
      </w:r>
      <w:r>
        <w:rPr>
          <w:rFonts w:hint="eastAsia" w:ascii="方正仿宋_GBK" w:hAnsi="方正仿宋_GBK" w:eastAsia="方正仿宋_GBK" w:cs="方正仿宋_GBK"/>
          <w:bCs/>
          <w:sz w:val="32"/>
          <w:szCs w:val="32"/>
          <w:u w:val="none"/>
        </w:rPr>
        <w:t>条  本办法</w:t>
      </w:r>
      <w:r>
        <w:rPr>
          <w:rFonts w:hint="eastAsia" w:ascii="方正仿宋_GBK" w:hAnsi="方正仿宋_GBK" w:eastAsia="方正仿宋_GBK" w:cs="方正仿宋_GBK"/>
          <w:bCs/>
          <w:sz w:val="32"/>
          <w:szCs w:val="32"/>
          <w:u w:val="none"/>
          <w:lang w:eastAsia="zh-CN"/>
        </w:rPr>
        <w:t>印发后，《</w:t>
      </w:r>
      <w:r>
        <w:rPr>
          <w:rFonts w:hint="eastAsia" w:ascii="方正仿宋_GBK" w:hAnsi="方正仿宋_GBK" w:eastAsia="方正仿宋_GBK" w:cs="方正仿宋_GBK"/>
          <w:bCs/>
          <w:sz w:val="32"/>
          <w:szCs w:val="32"/>
          <w:u w:val="none"/>
        </w:rPr>
        <w:t>拉萨高新区（柳梧新区）科技企业创新券实施管理暂行办法（试行）</w:t>
      </w:r>
      <w:r>
        <w:rPr>
          <w:rFonts w:hint="eastAsia" w:ascii="方正仿宋_GBK" w:hAnsi="方正仿宋_GBK" w:eastAsia="方正仿宋_GBK" w:cs="方正仿宋_GBK"/>
          <w:bCs/>
          <w:sz w:val="32"/>
          <w:szCs w:val="32"/>
          <w:u w:val="none"/>
          <w:lang w:eastAsia="zh-CN"/>
        </w:rPr>
        <w:t>》</w:t>
      </w:r>
      <w:r>
        <w:rPr>
          <w:rFonts w:hint="eastAsia" w:ascii="方正仿宋_GBK" w:hAnsi="方正仿宋_GBK" w:eastAsia="方正仿宋_GBK" w:cs="方正仿宋_GBK"/>
          <w:bCs/>
          <w:sz w:val="32"/>
          <w:szCs w:val="32"/>
          <w:u w:val="none"/>
        </w:rPr>
        <w:t>（</w:t>
      </w:r>
      <w:r>
        <w:rPr>
          <w:rFonts w:hint="eastAsia" w:ascii="方正仿宋_GBK" w:hAnsi="方正仿宋_GBK" w:eastAsia="方正仿宋_GBK" w:cs="方正仿宋_GBK"/>
          <w:bCs/>
          <w:sz w:val="32"/>
          <w:szCs w:val="32"/>
          <w:u w:val="none"/>
          <w:lang w:eastAsia="zh-CN"/>
        </w:rPr>
        <w:t>柳区管</w:t>
      </w:r>
      <w:r>
        <w:rPr>
          <w:rFonts w:hint="eastAsia" w:ascii="方正仿宋_GBK" w:hAnsi="方正仿宋_GBK" w:eastAsia="方正仿宋_GBK" w:cs="方正仿宋_GBK"/>
          <w:bCs/>
          <w:sz w:val="32"/>
          <w:szCs w:val="32"/>
          <w:u w:val="none"/>
        </w:rPr>
        <w:t>〔201</w:t>
      </w:r>
      <w:r>
        <w:rPr>
          <w:rFonts w:hint="eastAsia" w:ascii="方正仿宋_GBK" w:hAnsi="方正仿宋_GBK" w:eastAsia="方正仿宋_GBK" w:cs="方正仿宋_GBK"/>
          <w:bCs/>
          <w:sz w:val="32"/>
          <w:szCs w:val="32"/>
          <w:u w:val="none"/>
          <w:lang w:val="en-US" w:eastAsia="zh-CN"/>
        </w:rPr>
        <w:t>9</w:t>
      </w:r>
      <w:r>
        <w:rPr>
          <w:rFonts w:hint="eastAsia" w:ascii="方正仿宋_GBK" w:hAnsi="方正仿宋_GBK" w:eastAsia="方正仿宋_GBK" w:cs="方正仿宋_GBK"/>
          <w:bCs/>
          <w:sz w:val="32"/>
          <w:szCs w:val="32"/>
          <w:u w:val="none"/>
        </w:rPr>
        <w:t>〕</w:t>
      </w:r>
      <w:r>
        <w:rPr>
          <w:rFonts w:hint="eastAsia" w:ascii="方正仿宋_GBK" w:hAnsi="方正仿宋_GBK" w:eastAsia="方正仿宋_GBK" w:cs="方正仿宋_GBK"/>
          <w:bCs/>
          <w:sz w:val="32"/>
          <w:szCs w:val="32"/>
          <w:u w:val="none"/>
          <w:lang w:val="en-US" w:eastAsia="zh-CN"/>
        </w:rPr>
        <w:t>283</w:t>
      </w:r>
      <w:r>
        <w:rPr>
          <w:rFonts w:hint="eastAsia" w:ascii="方正仿宋_GBK" w:hAnsi="方正仿宋_GBK" w:eastAsia="方正仿宋_GBK" w:cs="方正仿宋_GBK"/>
          <w:bCs/>
          <w:sz w:val="32"/>
          <w:szCs w:val="32"/>
          <w:u w:val="none"/>
        </w:rPr>
        <w:t>号）</w:t>
      </w:r>
      <w:r>
        <w:rPr>
          <w:rFonts w:hint="eastAsia" w:ascii="方正仿宋_GBK" w:hAnsi="方正仿宋_GBK" w:eastAsia="方正仿宋_GBK" w:cs="方正仿宋_GBK"/>
          <w:bCs/>
          <w:sz w:val="32"/>
          <w:szCs w:val="32"/>
          <w:u w:val="none"/>
          <w:lang w:eastAsia="zh-CN"/>
        </w:rPr>
        <w:t>同时废止。</w:t>
      </w:r>
    </w:p>
    <w:p>
      <w:pPr>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eastAsia="zh-CN"/>
        </w:rPr>
        <w:t>第十七条</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lang w:eastAsia="zh-CN"/>
        </w:rPr>
        <w:t>本办法</w:t>
      </w:r>
      <w:r>
        <w:rPr>
          <w:rFonts w:hint="eastAsia" w:ascii="方正仿宋_GBK" w:hAnsi="方正仿宋_GBK" w:eastAsia="方正仿宋_GBK" w:cs="方正仿宋_GBK"/>
          <w:bCs/>
          <w:color w:val="auto"/>
          <w:sz w:val="32"/>
          <w:szCs w:val="32"/>
        </w:rPr>
        <w:t>由高新区双创办负责解释。</w:t>
      </w:r>
    </w:p>
    <w:p>
      <w:pPr>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eastAsia="zh-CN"/>
        </w:rPr>
        <w:t>第十八条</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rPr>
        <w:t>本办法自印发之日起生效。</w:t>
      </w:r>
    </w:p>
    <w:p>
      <w:pPr>
        <w:rPr>
          <w:rFonts w:hint="default" w:ascii="方正仿宋_GBK" w:hAnsi="方正仿宋_GBK" w:eastAsia="方正仿宋_GBK" w:cs="方正仿宋_GBK"/>
          <w:sz w:val="32"/>
          <w:szCs w:val="32"/>
          <w:lang w:val="en-US" w:eastAsia="zh-CN"/>
        </w:rPr>
      </w:pPr>
    </w:p>
    <w:p>
      <w:pPr>
        <w:pStyle w:val="2"/>
        <w:rPr>
          <w:rFonts w:hint="default"/>
          <w:lang w:val="en-US" w:eastAsia="zh-CN"/>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附件：细则</w:t>
      </w:r>
    </w:p>
    <w:p>
      <w:pPr>
        <w:rPr>
          <w:rFonts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pStyle w:val="2"/>
        <w:rPr>
          <w:rFonts w:hint="eastAsia"/>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细则</w:t>
      </w:r>
    </w:p>
    <w:tbl>
      <w:tblPr>
        <w:tblStyle w:val="7"/>
        <w:tblpPr w:leftFromText="180" w:rightFromText="180" w:vertAnchor="text" w:horzAnchor="page" w:tblpX="1614" w:tblpY="154"/>
        <w:tblOverlap w:val="never"/>
        <w:tblW w:w="9568" w:type="dxa"/>
        <w:tblInd w:w="0" w:type="dxa"/>
        <w:shd w:val="clear" w:color="auto" w:fill="FFFFFF"/>
        <w:tblLayout w:type="fixed"/>
        <w:tblCellMar>
          <w:top w:w="0" w:type="dxa"/>
          <w:left w:w="0" w:type="dxa"/>
          <w:bottom w:w="0" w:type="dxa"/>
          <w:right w:w="0" w:type="dxa"/>
        </w:tblCellMar>
      </w:tblPr>
      <w:tblGrid>
        <w:gridCol w:w="610"/>
        <w:gridCol w:w="1525"/>
        <w:gridCol w:w="1783"/>
        <w:gridCol w:w="1934"/>
        <w:gridCol w:w="2266"/>
        <w:gridCol w:w="1450"/>
      </w:tblGrid>
      <w:tr>
        <w:tblPrEx>
          <w:shd w:val="clear" w:color="auto" w:fill="FFFFFF"/>
          <w:tblLayout w:type="fixed"/>
          <w:tblCellMar>
            <w:top w:w="0" w:type="dxa"/>
            <w:left w:w="0" w:type="dxa"/>
            <w:bottom w:w="0" w:type="dxa"/>
            <w:right w:w="0" w:type="dxa"/>
          </w:tblCellMar>
        </w:tblPrEx>
        <w:trPr>
          <w:trHeight w:val="1134" w:hRule="exact"/>
        </w:trPr>
        <w:tc>
          <w:tcPr>
            <w:tcW w:w="610" w:type="dxa"/>
            <w:tcBorders>
              <w:top w:val="single" w:color="C6C9CD" w:sz="8" w:space="0"/>
              <w:left w:val="single" w:color="C6C9CD" w:sz="8" w:space="0"/>
              <w:bottom w:val="single" w:color="C6C9CD" w:sz="8" w:space="0"/>
              <w:right w:val="single" w:color="C6C9CD" w:sz="8" w:space="0"/>
            </w:tcBorders>
            <w:shd w:val="clear" w:color="auto" w:fill="EEEEEE"/>
            <w:vAlign w:val="center"/>
          </w:tcPr>
          <w:p>
            <w:pPr>
              <w:pStyle w:val="5"/>
              <w:widowControl/>
              <w:spacing w:before="235" w:beforeAutospacing="0" w:after="235" w:afterAutospacing="0" w:line="240" w:lineRule="auto"/>
              <w:jc w:val="center"/>
              <w:rPr>
                <w:sz w:val="22"/>
              </w:rPr>
            </w:pPr>
            <w:r>
              <w:rPr>
                <w:rFonts w:hint="eastAsia" w:ascii="宋体" w:hAnsi="宋体" w:cs="宋体"/>
                <w:b/>
                <w:color w:val="000000"/>
                <w:sz w:val="22"/>
              </w:rPr>
              <w:t>序号</w:t>
            </w:r>
          </w:p>
        </w:tc>
        <w:tc>
          <w:tcPr>
            <w:tcW w:w="1525" w:type="dxa"/>
            <w:tcBorders>
              <w:top w:val="single" w:color="C6C9CD" w:sz="8" w:space="0"/>
              <w:left w:val="single" w:color="C6C9CD" w:sz="8" w:space="0"/>
              <w:bottom w:val="single" w:color="C6C9CD" w:sz="8" w:space="0"/>
              <w:right w:val="single" w:color="C6C9CD" w:sz="8" w:space="0"/>
            </w:tcBorders>
            <w:shd w:val="clear" w:color="auto" w:fill="EEEEEE"/>
            <w:vAlign w:val="center"/>
          </w:tcPr>
          <w:p>
            <w:pPr>
              <w:pStyle w:val="5"/>
              <w:widowControl/>
              <w:spacing w:before="235" w:beforeAutospacing="0" w:after="235" w:afterAutospacing="0" w:line="240" w:lineRule="auto"/>
              <w:jc w:val="center"/>
              <w:rPr>
                <w:sz w:val="22"/>
              </w:rPr>
            </w:pPr>
            <w:r>
              <w:rPr>
                <w:rFonts w:hint="eastAsia" w:ascii="宋体" w:hAnsi="宋体" w:cs="宋体"/>
                <w:b/>
                <w:color w:val="000000"/>
                <w:sz w:val="22"/>
              </w:rPr>
              <w:t>服务类别</w:t>
            </w:r>
          </w:p>
        </w:tc>
        <w:tc>
          <w:tcPr>
            <w:tcW w:w="1783" w:type="dxa"/>
            <w:tcBorders>
              <w:top w:val="single" w:color="C6C9CD" w:sz="8" w:space="0"/>
              <w:left w:val="single" w:color="C6C9CD" w:sz="8" w:space="0"/>
              <w:bottom w:val="single" w:color="C6C9CD" w:sz="8" w:space="0"/>
              <w:right w:val="single" w:color="C6C9CD" w:sz="8" w:space="0"/>
            </w:tcBorders>
            <w:shd w:val="clear" w:color="auto" w:fill="EEEEEE"/>
            <w:vAlign w:val="center"/>
          </w:tcPr>
          <w:p>
            <w:pPr>
              <w:pStyle w:val="5"/>
              <w:widowControl/>
              <w:spacing w:before="235" w:beforeAutospacing="0" w:after="235" w:afterAutospacing="0" w:line="240" w:lineRule="auto"/>
              <w:jc w:val="center"/>
              <w:rPr>
                <w:sz w:val="22"/>
              </w:rPr>
            </w:pPr>
            <w:r>
              <w:rPr>
                <w:rFonts w:hint="eastAsia" w:ascii="宋体" w:hAnsi="宋体" w:cs="宋体"/>
                <w:b/>
                <w:color w:val="000000"/>
                <w:sz w:val="22"/>
              </w:rPr>
              <w:t>服务子类</w:t>
            </w:r>
          </w:p>
        </w:tc>
        <w:tc>
          <w:tcPr>
            <w:tcW w:w="1934" w:type="dxa"/>
            <w:tcBorders>
              <w:top w:val="single" w:color="C6C9CD" w:sz="8" w:space="0"/>
              <w:left w:val="single" w:color="C6C9CD" w:sz="8" w:space="0"/>
              <w:bottom w:val="single" w:color="C6C9CD" w:sz="8" w:space="0"/>
              <w:right w:val="single" w:color="C6C9CD" w:sz="8" w:space="0"/>
            </w:tcBorders>
            <w:shd w:val="clear" w:color="auto" w:fill="EEEEEE"/>
            <w:vAlign w:val="center"/>
          </w:tcPr>
          <w:p>
            <w:pPr>
              <w:pStyle w:val="5"/>
              <w:widowControl/>
              <w:spacing w:before="235" w:beforeAutospacing="0" w:after="235" w:afterAutospacing="0" w:line="240" w:lineRule="auto"/>
              <w:jc w:val="center"/>
              <w:rPr>
                <w:sz w:val="22"/>
              </w:rPr>
            </w:pPr>
            <w:r>
              <w:rPr>
                <w:rFonts w:hint="eastAsia" w:ascii="宋体" w:hAnsi="宋体" w:cs="宋体"/>
                <w:b/>
                <w:color w:val="000000"/>
                <w:sz w:val="22"/>
              </w:rPr>
              <w:t>申请单位资质</w:t>
            </w:r>
          </w:p>
        </w:tc>
        <w:tc>
          <w:tcPr>
            <w:tcW w:w="2266" w:type="dxa"/>
            <w:tcBorders>
              <w:top w:val="single" w:color="C6C9CD" w:sz="8" w:space="0"/>
              <w:left w:val="single" w:color="C6C9CD" w:sz="8" w:space="0"/>
              <w:bottom w:val="single" w:color="C6C9CD" w:sz="8" w:space="0"/>
              <w:right w:val="single" w:color="C6C9CD" w:sz="8" w:space="0"/>
            </w:tcBorders>
            <w:shd w:val="clear" w:color="auto" w:fill="EEEEEE"/>
            <w:vAlign w:val="center"/>
          </w:tcPr>
          <w:p>
            <w:pPr>
              <w:pStyle w:val="5"/>
              <w:widowControl/>
              <w:spacing w:before="235" w:beforeAutospacing="0" w:after="235" w:afterAutospacing="0" w:line="240" w:lineRule="auto"/>
              <w:jc w:val="center"/>
              <w:rPr>
                <w:rFonts w:hint="eastAsia" w:ascii="宋体" w:hAnsi="宋体" w:eastAsia="宋体" w:cs="宋体"/>
                <w:b/>
                <w:color w:val="000000"/>
                <w:sz w:val="22"/>
                <w:lang w:eastAsia="zh-CN"/>
              </w:rPr>
            </w:pPr>
            <w:r>
              <w:rPr>
                <w:rFonts w:hint="eastAsia" w:ascii="宋体" w:hAnsi="宋体" w:cs="宋体"/>
                <w:b/>
                <w:color w:val="000000"/>
                <w:sz w:val="22"/>
                <w:lang w:eastAsia="zh-CN"/>
              </w:rPr>
              <w:t>补贴比例</w:t>
            </w:r>
          </w:p>
        </w:tc>
        <w:tc>
          <w:tcPr>
            <w:tcW w:w="1450" w:type="dxa"/>
            <w:tcBorders>
              <w:top w:val="single" w:color="C6C9CD" w:sz="8" w:space="0"/>
              <w:left w:val="single" w:color="C6C9CD" w:sz="8" w:space="0"/>
              <w:bottom w:val="single" w:color="C6C9CD" w:sz="8" w:space="0"/>
              <w:right w:val="single" w:color="C6C9CD" w:sz="8" w:space="0"/>
            </w:tcBorders>
            <w:shd w:val="clear" w:color="auto" w:fill="EEEEEE"/>
            <w:vAlign w:val="center"/>
          </w:tcPr>
          <w:p>
            <w:pPr>
              <w:pStyle w:val="5"/>
              <w:widowControl/>
              <w:spacing w:before="235" w:beforeAutospacing="0" w:after="235" w:afterAutospacing="0" w:line="240" w:lineRule="auto"/>
              <w:jc w:val="center"/>
              <w:rPr>
                <w:rFonts w:hint="eastAsia" w:ascii="宋体" w:hAnsi="宋体" w:cs="宋体"/>
                <w:b/>
                <w:color w:val="000000"/>
                <w:sz w:val="22"/>
                <w:lang w:eastAsia="zh-CN"/>
              </w:rPr>
            </w:pPr>
            <w:r>
              <w:rPr>
                <w:rFonts w:hint="eastAsia" w:ascii="宋体" w:hAnsi="宋体" w:cs="宋体"/>
                <w:b/>
                <w:color w:val="000000"/>
                <w:sz w:val="22"/>
                <w:lang w:eastAsia="zh-CN"/>
              </w:rPr>
              <w:t>补贴上限</w:t>
            </w:r>
          </w:p>
        </w:tc>
      </w:tr>
      <w:tr>
        <w:tblPrEx>
          <w:tblLayout w:type="fixed"/>
          <w:tblCellMar>
            <w:top w:w="0" w:type="dxa"/>
            <w:left w:w="0" w:type="dxa"/>
            <w:bottom w:w="0" w:type="dxa"/>
            <w:right w:w="0" w:type="dxa"/>
          </w:tblCellMar>
        </w:tblPrEx>
        <w:trPr>
          <w:trHeight w:val="1134" w:hRule="exact"/>
        </w:trPr>
        <w:tc>
          <w:tcPr>
            <w:tcW w:w="610"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525"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代理代办服务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工商代办服务</w:t>
            </w:r>
          </w:p>
        </w:tc>
        <w:tc>
          <w:tcPr>
            <w:tcW w:w="1934"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拥有工商部门及相关行业主管部门认证的经营范围及资质的机构</w:t>
            </w:r>
          </w:p>
        </w:tc>
        <w:tc>
          <w:tcPr>
            <w:tcW w:w="2266"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按合同金额的50%</w:t>
            </w:r>
          </w:p>
        </w:tc>
        <w:tc>
          <w:tcPr>
            <w:tcW w:w="1450"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不超过5000元</w:t>
            </w:r>
          </w:p>
        </w:tc>
      </w:tr>
      <w:tr>
        <w:tblPrEx>
          <w:tblLayout w:type="fixed"/>
          <w:tblCellMar>
            <w:top w:w="0" w:type="dxa"/>
            <w:left w:w="0" w:type="dxa"/>
            <w:bottom w:w="0" w:type="dxa"/>
            <w:right w:w="0" w:type="dxa"/>
          </w:tblCellMar>
        </w:tblPrEx>
        <w:trPr>
          <w:trHeight w:val="1134" w:hRule="exact"/>
        </w:trPr>
        <w:tc>
          <w:tcPr>
            <w:tcW w:w="61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代理记账服务</w:t>
            </w:r>
          </w:p>
        </w:tc>
        <w:tc>
          <w:tcPr>
            <w:tcW w:w="1934"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财务规范服务</w:t>
            </w:r>
          </w:p>
        </w:tc>
        <w:tc>
          <w:tcPr>
            <w:tcW w:w="1934"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525"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知识产权设计</w:t>
            </w:r>
          </w:p>
        </w:tc>
        <w:tc>
          <w:tcPr>
            <w:tcW w:w="1934"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拥有工商部门认证的经营范围及知识产权代理资质的机构</w:t>
            </w:r>
          </w:p>
        </w:tc>
        <w:tc>
          <w:tcPr>
            <w:tcW w:w="2266"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按合同金额的50%</w:t>
            </w:r>
          </w:p>
        </w:tc>
        <w:tc>
          <w:tcPr>
            <w:tcW w:w="1450"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不超过5000元</w:t>
            </w:r>
          </w:p>
        </w:tc>
      </w:tr>
      <w:tr>
        <w:tblPrEx>
          <w:tblLayout w:type="fixed"/>
          <w:tblCellMar>
            <w:top w:w="0" w:type="dxa"/>
            <w:left w:w="0" w:type="dxa"/>
            <w:bottom w:w="0" w:type="dxa"/>
            <w:right w:w="0" w:type="dxa"/>
          </w:tblCellMar>
        </w:tblPrEx>
        <w:trPr>
          <w:trHeight w:val="1134" w:hRule="exact"/>
        </w:trPr>
        <w:tc>
          <w:tcPr>
            <w:tcW w:w="61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知识产权申请代理</w:t>
            </w:r>
          </w:p>
        </w:tc>
        <w:tc>
          <w:tcPr>
            <w:tcW w:w="1934"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知识产权维权及商业化服务</w:t>
            </w:r>
          </w:p>
        </w:tc>
        <w:tc>
          <w:tcPr>
            <w:tcW w:w="1934"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869" w:hRule="exact"/>
        </w:trPr>
        <w:tc>
          <w:tcPr>
            <w:tcW w:w="610"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525"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项目及投融资服务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商业计划书编制、可行性研究报告编制、资金申请报告编制</w:t>
            </w:r>
          </w:p>
        </w:tc>
        <w:tc>
          <w:tcPr>
            <w:tcW w:w="1934" w:type="dxa"/>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拥有工商部门认证的经营范围及工程咨询资质的机构</w:t>
            </w:r>
          </w:p>
        </w:tc>
        <w:tc>
          <w:tcPr>
            <w:tcW w:w="2266"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按合同金额的40%</w:t>
            </w:r>
          </w:p>
        </w:tc>
        <w:tc>
          <w:tcPr>
            <w:tcW w:w="1450" w:type="dxa"/>
            <w:vMerge w:val="restart"/>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不超过5万元</w:t>
            </w:r>
          </w:p>
        </w:tc>
      </w:tr>
      <w:tr>
        <w:tblPrEx>
          <w:tblLayout w:type="fixed"/>
          <w:tblCellMar>
            <w:top w:w="0" w:type="dxa"/>
            <w:left w:w="0" w:type="dxa"/>
            <w:bottom w:w="0" w:type="dxa"/>
            <w:right w:w="0" w:type="dxa"/>
          </w:tblCellMar>
        </w:tblPrEx>
        <w:trPr>
          <w:trHeight w:val="1464" w:hRule="exact"/>
        </w:trPr>
        <w:tc>
          <w:tcPr>
            <w:tcW w:w="61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财税审计、资产评估</w:t>
            </w:r>
          </w:p>
        </w:tc>
        <w:tc>
          <w:tcPr>
            <w:tcW w:w="1934" w:type="dxa"/>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拥有工商部门认证的经营范围及审计评估资质的机构</w:t>
            </w:r>
          </w:p>
        </w:tc>
        <w:tc>
          <w:tcPr>
            <w:tcW w:w="2266"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494" w:hRule="exact"/>
        </w:trPr>
        <w:tc>
          <w:tcPr>
            <w:tcW w:w="61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科技评价</w:t>
            </w:r>
          </w:p>
        </w:tc>
        <w:tc>
          <w:tcPr>
            <w:tcW w:w="1934" w:type="dxa"/>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拥有工商部门认证的经营范围及科技评价资质的机构</w:t>
            </w:r>
          </w:p>
        </w:tc>
        <w:tc>
          <w:tcPr>
            <w:tcW w:w="2266"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734" w:hRule="exact"/>
        </w:trPr>
        <w:tc>
          <w:tcPr>
            <w:tcW w:w="61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525"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法务、担保、发债、上市等咨询服务</w:t>
            </w:r>
          </w:p>
        </w:tc>
        <w:tc>
          <w:tcPr>
            <w:tcW w:w="1934"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拥有工商部门认证的经营范围及相关咨询资质的机构</w:t>
            </w: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899" w:hRule="exact"/>
        </w:trPr>
        <w:tc>
          <w:tcPr>
            <w:tcW w:w="610"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525"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广告与品牌服务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企业品牌策划、市场宣传推广等服务</w:t>
            </w:r>
          </w:p>
        </w:tc>
        <w:tc>
          <w:tcPr>
            <w:tcW w:w="1934"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拥有工商部门认证的经营范围及相关咨询资质的机构</w:t>
            </w:r>
          </w:p>
        </w:tc>
        <w:tc>
          <w:tcPr>
            <w:tcW w:w="2266"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按合同金额的40%</w:t>
            </w:r>
          </w:p>
        </w:tc>
        <w:tc>
          <w:tcPr>
            <w:tcW w:w="1450"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不超过2万元</w:t>
            </w:r>
          </w:p>
        </w:tc>
      </w:tr>
      <w:tr>
        <w:tblPrEx>
          <w:tblLayout w:type="fixed"/>
          <w:tblCellMar>
            <w:top w:w="0" w:type="dxa"/>
            <w:left w:w="0" w:type="dxa"/>
            <w:bottom w:w="0" w:type="dxa"/>
            <w:right w:w="0" w:type="dxa"/>
          </w:tblCellMar>
        </w:tblPrEx>
        <w:trPr>
          <w:trHeight w:val="1694" w:hRule="exact"/>
        </w:trPr>
        <w:tc>
          <w:tcPr>
            <w:tcW w:w="610"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525"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培训交流服务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为提高员工专业技术能力而开展的培训交流学习服务</w:t>
            </w:r>
          </w:p>
        </w:tc>
        <w:tc>
          <w:tcPr>
            <w:tcW w:w="1934"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拥有工商部门认证的经营范围及相关咨询资质的机构</w:t>
            </w:r>
          </w:p>
        </w:tc>
        <w:tc>
          <w:tcPr>
            <w:tcW w:w="2266"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按合同金额的30%</w:t>
            </w:r>
          </w:p>
        </w:tc>
        <w:tc>
          <w:tcPr>
            <w:tcW w:w="1450" w:type="dxa"/>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不超过3万元</w:t>
            </w:r>
          </w:p>
        </w:tc>
      </w:tr>
      <w:tr>
        <w:tblPrEx>
          <w:tblLayout w:type="fixed"/>
          <w:tblCellMar>
            <w:top w:w="0" w:type="dxa"/>
            <w:left w:w="0" w:type="dxa"/>
            <w:bottom w:w="0" w:type="dxa"/>
            <w:right w:w="0" w:type="dxa"/>
          </w:tblCellMar>
        </w:tblPrEx>
        <w:trPr>
          <w:trHeight w:val="1134" w:hRule="exact"/>
        </w:trPr>
        <w:tc>
          <w:tcPr>
            <w:tcW w:w="610"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525"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研究开发服务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基础应用研究和试验发展服务</w:t>
            </w:r>
          </w:p>
        </w:tc>
        <w:tc>
          <w:tcPr>
            <w:tcW w:w="1934"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拥有市级以上认证的重点实验室、工程中心、公共技术平台的机构</w:t>
            </w:r>
          </w:p>
        </w:tc>
        <w:tc>
          <w:tcPr>
            <w:tcW w:w="2266"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每年度符合补贴要求的业务合同金额在10万元及以下的部分按照最高不超过90%的比例核定；超过10万元至50万元的部分按照最高不超过60%的比例核定；超过50万元至100万元的部分按照最高不超过30%的比例核定；超过100万元以上的部分，不再予以创新券补贴。</w:t>
            </w:r>
          </w:p>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不超过50万元</w:t>
            </w:r>
          </w:p>
        </w:tc>
      </w:tr>
      <w:tr>
        <w:tblPrEx>
          <w:tblLayout w:type="fixed"/>
          <w:tblCellMar>
            <w:top w:w="0" w:type="dxa"/>
            <w:left w:w="0" w:type="dxa"/>
            <w:bottom w:w="0" w:type="dxa"/>
            <w:right w:w="0" w:type="dxa"/>
          </w:tblCellMar>
        </w:tblPrEx>
        <w:trPr>
          <w:trHeight w:val="1134"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产业联盟协同创新服务</w:t>
            </w:r>
          </w:p>
        </w:tc>
        <w:tc>
          <w:tcPr>
            <w:tcW w:w="1934"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159"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产品研发设计服务</w:t>
            </w:r>
          </w:p>
        </w:tc>
        <w:tc>
          <w:tcPr>
            <w:tcW w:w="1934"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525"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技术转移服务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科技成果转移转化服务</w:t>
            </w:r>
          </w:p>
        </w:tc>
        <w:tc>
          <w:tcPr>
            <w:tcW w:w="1934"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市级以上认定的技术转移机构</w:t>
            </w:r>
          </w:p>
        </w:tc>
        <w:tc>
          <w:tcPr>
            <w:tcW w:w="2266"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按合同金额的60%</w:t>
            </w:r>
          </w:p>
        </w:tc>
        <w:tc>
          <w:tcPr>
            <w:tcW w:w="1450"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不超过10万元</w:t>
            </w:r>
          </w:p>
        </w:tc>
      </w:tr>
      <w:tr>
        <w:tblPrEx>
          <w:tblLayout w:type="fixed"/>
          <w:tblCellMar>
            <w:top w:w="0" w:type="dxa"/>
            <w:left w:w="0" w:type="dxa"/>
            <w:bottom w:w="0" w:type="dxa"/>
            <w:right w:w="0" w:type="dxa"/>
          </w:tblCellMar>
        </w:tblPrEx>
        <w:trPr>
          <w:trHeight w:val="1134"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企业技术转移集成服务</w:t>
            </w:r>
          </w:p>
        </w:tc>
        <w:tc>
          <w:tcPr>
            <w:tcW w:w="1934"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889"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中试和技术熟化集成服务</w:t>
            </w:r>
          </w:p>
        </w:tc>
        <w:tc>
          <w:tcPr>
            <w:tcW w:w="1934"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525"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检验检测认证服务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检验检测分析服务</w:t>
            </w:r>
          </w:p>
        </w:tc>
        <w:tc>
          <w:tcPr>
            <w:tcW w:w="1934"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拥有检验检测资质的机构</w:t>
            </w:r>
          </w:p>
        </w:tc>
        <w:tc>
          <w:tcPr>
            <w:tcW w:w="2266"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按合同金额的70%</w:t>
            </w:r>
          </w:p>
        </w:tc>
        <w:tc>
          <w:tcPr>
            <w:tcW w:w="1450"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不超过3万元</w:t>
            </w:r>
          </w:p>
        </w:tc>
      </w:tr>
      <w:tr>
        <w:tblPrEx>
          <w:tblLayout w:type="fixed"/>
          <w:tblCellMar>
            <w:top w:w="0" w:type="dxa"/>
            <w:left w:w="0" w:type="dxa"/>
            <w:bottom w:w="0" w:type="dxa"/>
            <w:right w:w="0" w:type="dxa"/>
          </w:tblCellMar>
        </w:tblPrEx>
        <w:trPr>
          <w:trHeight w:val="1134"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检测结果国际互认服务</w:t>
            </w:r>
          </w:p>
        </w:tc>
        <w:tc>
          <w:tcPr>
            <w:tcW w:w="1934"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资质认证服务</w:t>
            </w:r>
          </w:p>
        </w:tc>
        <w:tc>
          <w:tcPr>
            <w:tcW w:w="1934"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拥有市级以上认证资质的机构</w:t>
            </w:r>
          </w:p>
        </w:tc>
        <w:tc>
          <w:tcPr>
            <w:tcW w:w="2266"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知识产权检索分析服务</w:t>
            </w:r>
          </w:p>
        </w:tc>
        <w:tc>
          <w:tcPr>
            <w:tcW w:w="1934" w:type="dxa"/>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hAnsi="宋体" w:cs="宋体"/>
                <w:color w:val="000000"/>
                <w:kern w:val="0"/>
                <w:sz w:val="22"/>
                <w:szCs w:val="22"/>
                <w:lang w:val="en-US" w:eastAsia="zh-CN" w:bidi="ar"/>
              </w:rPr>
            </w:pP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1134" w:hRule="exact"/>
        </w:trPr>
        <w:tc>
          <w:tcPr>
            <w:tcW w:w="610"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sz w:val="22"/>
                <w:lang w:eastAsia="zh-CN"/>
              </w:rPr>
            </w:pPr>
            <w:r>
              <w:rPr>
                <w:rFonts w:hint="eastAsia" w:ascii="宋体" w:hAnsi="宋体" w:cs="宋体"/>
                <w:color w:val="000000"/>
                <w:sz w:val="22"/>
                <w:lang w:val="en-US" w:eastAsia="zh-CN"/>
              </w:rPr>
              <w:t>9</w:t>
            </w:r>
          </w:p>
        </w:tc>
        <w:tc>
          <w:tcPr>
            <w:tcW w:w="1525"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sz w:val="22"/>
              </w:rPr>
            </w:pPr>
            <w:r>
              <w:rPr>
                <w:rFonts w:hint="eastAsia" w:ascii="宋体" w:hAnsi="宋体" w:cs="宋体"/>
                <w:color w:val="000000"/>
                <w:sz w:val="22"/>
              </w:rPr>
              <w:t>科技咨询服务</w:t>
            </w: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sz w:val="22"/>
              </w:rPr>
            </w:pPr>
            <w:r>
              <w:rPr>
                <w:rFonts w:hint="eastAsia" w:ascii="宋体" w:hAnsi="宋体" w:cs="宋体"/>
                <w:color w:val="000000"/>
                <w:sz w:val="22"/>
              </w:rPr>
              <w:t>科技查新服务</w:t>
            </w:r>
          </w:p>
        </w:tc>
        <w:tc>
          <w:tcPr>
            <w:tcW w:w="1934" w:type="dxa"/>
            <w:vMerge w:val="restart"/>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sz w:val="22"/>
              </w:rPr>
            </w:pPr>
            <w:r>
              <w:rPr>
                <w:rFonts w:hint="eastAsia" w:ascii="宋体" w:hAnsi="宋体" w:cs="宋体"/>
                <w:color w:val="000000"/>
                <w:sz w:val="22"/>
              </w:rPr>
              <w:t>拥有较高专业水平的咨询专家，且该专家为该服务机构的在职员工的机构（申请材料需提供专家简介、资质及在职证明）</w:t>
            </w:r>
          </w:p>
        </w:tc>
        <w:tc>
          <w:tcPr>
            <w:tcW w:w="2266"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按合同金额的60%</w:t>
            </w:r>
          </w:p>
        </w:tc>
        <w:tc>
          <w:tcPr>
            <w:tcW w:w="1450" w:type="dxa"/>
            <w:vMerge w:val="restart"/>
            <w:tcBorders>
              <w:top w:val="single" w:color="C6C9CD" w:sz="8" w:space="0"/>
              <w:left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不超过10万元</w:t>
            </w:r>
          </w:p>
        </w:tc>
      </w:tr>
      <w:tr>
        <w:tblPrEx>
          <w:tblLayout w:type="fixed"/>
          <w:tblCellMar>
            <w:top w:w="0" w:type="dxa"/>
            <w:left w:w="0" w:type="dxa"/>
            <w:bottom w:w="0" w:type="dxa"/>
            <w:right w:w="0" w:type="dxa"/>
          </w:tblCellMar>
        </w:tblPrEx>
        <w:trPr>
          <w:trHeight w:val="1809"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sz w:val="22"/>
              </w:rPr>
            </w:pPr>
            <w:r>
              <w:rPr>
                <w:rFonts w:hint="eastAsia" w:ascii="宋体" w:hAnsi="宋体" w:cs="宋体"/>
                <w:color w:val="000000"/>
                <w:sz w:val="22"/>
              </w:rPr>
              <w:t>科技文献检索服务</w:t>
            </w:r>
          </w:p>
        </w:tc>
        <w:tc>
          <w:tcPr>
            <w:tcW w:w="1934"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2266" w:type="dxa"/>
            <w:vMerge w:val="continue"/>
            <w:tcBorders>
              <w:left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1450" w:type="dxa"/>
            <w:vMerge w:val="continue"/>
            <w:tcBorders>
              <w:left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r>
      <w:tr>
        <w:tblPrEx>
          <w:tblLayout w:type="fixed"/>
          <w:tblCellMar>
            <w:top w:w="0" w:type="dxa"/>
            <w:left w:w="0" w:type="dxa"/>
            <w:bottom w:w="0" w:type="dxa"/>
            <w:right w:w="0" w:type="dxa"/>
          </w:tblCellMar>
        </w:tblPrEx>
        <w:trPr>
          <w:trHeight w:val="1134" w:hRule="exact"/>
        </w:trPr>
        <w:tc>
          <w:tcPr>
            <w:tcW w:w="610"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1525" w:type="dxa"/>
            <w:vMerge w:val="continue"/>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1783" w:type="dxa"/>
            <w:tcBorders>
              <w:top w:val="single" w:color="C6C9CD" w:sz="8" w:space="0"/>
              <w:left w:val="single" w:color="C6C9CD" w:sz="8" w:space="0"/>
              <w:bottom w:val="single" w:color="C6C9CD" w:sz="8" w:space="0"/>
              <w:right w:val="single" w:color="C6C9CD" w:sz="8" w:space="0"/>
            </w:tcBorders>
            <w:shd w:val="clear" w:color="auto" w:fill="FFFFFF"/>
            <w:vAlign w:val="center"/>
          </w:tcPr>
          <w:p>
            <w:pPr>
              <w:pStyle w:val="5"/>
              <w:widowControl/>
              <w:spacing w:before="235" w:beforeAutospacing="0" w:after="235" w:afterAutospacing="0" w:line="240" w:lineRule="auto"/>
              <w:jc w:val="center"/>
              <w:rPr>
                <w:sz w:val="22"/>
              </w:rPr>
            </w:pPr>
            <w:r>
              <w:rPr>
                <w:rFonts w:hint="eastAsia" w:ascii="宋体" w:hAnsi="宋体" w:cs="宋体"/>
                <w:color w:val="000000"/>
                <w:sz w:val="22"/>
              </w:rPr>
              <w:t>工程技术咨询服务</w:t>
            </w:r>
          </w:p>
        </w:tc>
        <w:tc>
          <w:tcPr>
            <w:tcW w:w="1934" w:type="dxa"/>
            <w:tcBorders>
              <w:top w:val="single" w:color="C6C9CD" w:sz="8" w:space="0"/>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2266" w:type="dxa"/>
            <w:vMerge w:val="continue"/>
            <w:tcBorders>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c>
          <w:tcPr>
            <w:tcW w:w="1450" w:type="dxa"/>
            <w:vMerge w:val="continue"/>
            <w:tcBorders>
              <w:left w:val="single" w:color="C6C9CD" w:sz="8" w:space="0"/>
              <w:bottom w:val="single" w:color="C6C9CD" w:sz="8" w:space="0"/>
              <w:right w:val="single" w:color="C6C9CD" w:sz="8" w:space="0"/>
            </w:tcBorders>
            <w:shd w:val="clear" w:color="auto" w:fill="FFFFFF"/>
            <w:vAlign w:val="center"/>
          </w:tcPr>
          <w:p>
            <w:pPr>
              <w:spacing w:line="240" w:lineRule="auto"/>
              <w:jc w:val="center"/>
              <w:rPr>
                <w:rFonts w:hint="eastAsia" w:ascii="宋体"/>
                <w:sz w:val="22"/>
              </w:rPr>
            </w:pPr>
          </w:p>
        </w:tc>
      </w:tr>
    </w:tbl>
    <w:p>
      <w:pPr>
        <w:jc w:val="center"/>
        <w:rPr>
          <w:rFonts w:hint="eastAsia" w:ascii="方正小标宋_GBK" w:hAnsi="方正小标宋_GBK" w:eastAsia="方正小标宋_GBK" w:cs="方正小标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828A0"/>
    <w:rsid w:val="12ED3811"/>
    <w:rsid w:val="1E96360E"/>
    <w:rsid w:val="26E77E5A"/>
    <w:rsid w:val="35172F6F"/>
    <w:rsid w:val="38DC705A"/>
    <w:rsid w:val="397F3825"/>
    <w:rsid w:val="457F33A6"/>
    <w:rsid w:val="580B2168"/>
    <w:rsid w:val="5FC446CF"/>
    <w:rsid w:val="6AEB117C"/>
    <w:rsid w:val="7F2E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Heading1"/>
    <w:basedOn w:val="1"/>
    <w:next w:val="1"/>
    <w:qFormat/>
    <w:uiPriority w:val="0"/>
    <w:pPr>
      <w:spacing w:before="100" w:beforeLines="0" w:beforeAutospacing="1" w:after="100" w:afterLines="0" w:afterAutospacing="1" w:line="240" w:lineRule="auto"/>
      <w:jc w:val="left"/>
    </w:pPr>
    <w:rPr>
      <w:rFonts w:ascii="宋体" w:hAnsi="宋体" w:eastAsia="宋体"/>
      <w:b/>
      <w:kern w:val="44"/>
      <w:sz w:val="48"/>
      <w:szCs w:val="48"/>
      <w:lang w:val="en-US" w:eastAsia="zh-CN"/>
    </w:rPr>
  </w:style>
  <w:style w:type="paragraph" w:styleId="3">
    <w:name w:val="Body Text"/>
    <w:basedOn w:val="1"/>
    <w:qFormat/>
    <w:uiPriority w:val="0"/>
    <w:pPr>
      <w:spacing w:before="240" w:beforeLines="0" w:line="500" w:lineRule="exact"/>
    </w:pPr>
    <w:rPr>
      <w:rFonts w:ascii="宋体"/>
      <w:sz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2021-08-24T02:04:00Z</cp:lastPrinted>
  <dcterms:modified xsi:type="dcterms:W3CDTF">2021-08-26T08:46:55Z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